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Дополнительная общеразвивающая программа «Стрессоустойчивость и эмоциональная устойчивость»</w:t>
      </w:r>
    </w:p>
    <w:p>
      <w:r>
        <w:t>Общество с ограниченной ответственностью «Академия надпрофессиональных компетенций и искусственного интеллекта»</w:t>
      </w:r>
    </w:p>
    <w:p>
      <w:pPr>
        <w:jc w:val="right"/>
      </w:pPr>
      <w:r>
        <w:t>УТВЕРЖДАЮ</w:t>
      </w:r>
    </w:p>
    <w:p>
      <w:pPr>
        <w:spacing w:after="40"/>
        <w:jc w:val="right"/>
      </w:pPr>
      <w:r>
        <w:t>Генеральный директор ООО «АНКИИ»</w:t>
      </w:r>
    </w:p>
    <w:p>
      <w:pPr>
        <w:spacing w:before="40" w:after="40"/>
        <w:jc w:val="right"/>
      </w:pPr>
      <w:r/>
    </w:p>
    <w:p>
      <w:pPr>
        <w:spacing w:before="20" w:after="20"/>
        <w:jc w:val="right"/>
      </w:pPr>
      <w:r>
        <w:t>Шиманский Алексей Андреевич</w:t>
      </w:r>
    </w:p>
    <w:p>
      <w:pPr>
        <w:spacing w:before="20"/>
        <w:jc w:val="right"/>
      </w:pPr>
      <w:r>
        <w:t>Приказ № 02-ОД от 01 сентября 2026 г.</w:t>
      </w:r>
    </w:p>
    <w:p>
      <w:pPr>
        <w:pStyle w:val="Heading1"/>
      </w:pPr>
      <w:r>
        <w:t>1. Паспорт программы</w:t>
      </w:r>
    </w:p>
    <w:p>
      <w:r>
        <w:t>Вид: Дополнительная общеразвивающая программа. Название: «Стрессоустойчивость и эмоциональная устойчивость». Форма: заочная с электронным обучением и дистанционными технологиями; занятия с преподавателем по расписанию. Объём: 36 академических часов по 45 минут. Предлагаемый срок: 3 недель. Конкретные даты и время задаются календарём группы до договора. Язык: русский.</w:t>
      </w:r>
    </w:p>
    <w:p>
      <w:r>
        <w:t>Категория слушателей: Специалисты помогающих профессий, менеджеры, руководители. Уровень образования для допуска не ограничивается. Основной проект рассчитан на совершеннолетних. Если предполагается набор несовершеннолетних, до запуска утверждается отдельная возрастная адаптация и договор с законным представителем; взрослый вариант не применяется к детям автоматически.</w:t>
      </w:r>
    </w:p>
    <w:p>
      <w:r>
        <w:t>Основания: статья 75 273-ФЗ и приказ Минпросвещения № 629 от 27.07.2022. Это не ДПО и не повышение квалификации, даже при объёме 72 часа.</w:t>
      </w:r>
    </w:p>
    <w:p>
      <w:r>
        <w:t>Профессиональная область/направление: Стрессоустойчивость и эмоциональная устойчивость. Перед утверждением методист сопоставляет трудовые функции целевой аудитории с действующим профессиональным стандартом либо квалификационными требованиями и фиксирует реквизиты и конкретные функции в листе согласования. Для педагогов проверяется применимость стандарта № 652н от 22.09.2021; для иных ролей он не используется автоматически. Специализированная диагностика и лечение не являются результатами программы.</w:t>
      </w:r>
    </w:p>
    <w:p>
      <w:pPr>
        <w:pStyle w:val="Heading1"/>
      </w:pPr>
      <w:r>
        <w:t>2. Цель и результаты</w:t>
      </w:r>
    </w:p>
    <w:p>
      <w:r>
        <w:t>Цель: освоить способы решения практических задач направления «Стрессоустойчивость и эмоциональная устойчивость», обосновывать выбор инструмента и оценивать результат. Слушатель знает содержание тем, критерии качества, типичные ошибки и ограничения; умеет применять изученные методы к учебному кейсу; демонстрирует готовый проект, аргументирует решения и корректирует работу по обратной связи. Результат каждой темы проверяется отдельным заданием, а не фактом просмотра записи.</w:t>
      </w:r>
    </w:p>
    <w:p>
      <w:pPr>
        <w:pStyle w:val="Heading1"/>
      </w:pPr>
      <w:r>
        <w:t>3. Учебный план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3"/>
        <w:gridCol w:w="1643"/>
        <w:gridCol w:w="1643"/>
        <w:gridCol w:w="1643"/>
        <w:gridCol w:w="1643"/>
        <w:gridCol w:w="1643"/>
      </w:tblGrid>
      <w:tr>
        <w:tc>
          <w:tcPr>
            <w:tcW w:type="dxa" w:w="1643"/>
          </w:tcPr>
          <w:p>
            <w:r>
              <w:t>№ / модуль</w:t>
            </w:r>
          </w:p>
        </w:tc>
        <w:tc>
          <w:tcPr>
            <w:tcW w:type="dxa" w:w="1643"/>
          </w:tcPr>
          <w:p>
            <w:r>
              <w:t>Всего</w:t>
            </w:r>
          </w:p>
        </w:tc>
        <w:tc>
          <w:tcPr>
            <w:tcW w:type="dxa" w:w="1643"/>
          </w:tcPr>
          <w:p>
            <w:r>
              <w:t>Теория с преподавателем</w:t>
            </w:r>
          </w:p>
        </w:tc>
        <w:tc>
          <w:tcPr>
            <w:tcW w:type="dxa" w:w="1643"/>
          </w:tcPr>
          <w:p>
            <w:r>
              <w:t>Практика с преподавателем</w:t>
            </w:r>
          </w:p>
        </w:tc>
        <w:tc>
          <w:tcPr>
            <w:tcW w:type="dxa" w:w="1643"/>
          </w:tcPr>
          <w:p>
            <w:r>
              <w:t>Самостоятельно</w:t>
            </w:r>
          </w:p>
        </w:tc>
        <w:tc>
          <w:tcPr>
            <w:tcW w:type="dxa" w:w="1643"/>
          </w:tcPr>
          <w:p>
            <w:r>
              <w:t>Контроль</w:t>
            </w:r>
          </w:p>
        </w:tc>
      </w:tr>
      <w:tr>
        <w:tc>
          <w:tcPr>
            <w:tcW w:type="dxa" w:w="1643"/>
          </w:tcPr>
          <w:p>
            <w:r>
              <w:t>1. Стресс — что это и как он работает</w:t>
            </w:r>
          </w:p>
        </w:tc>
        <w:tc>
          <w:tcPr>
            <w:tcW w:type="dxa" w:w="1643"/>
          </w:tcPr>
          <w:p>
            <w:r>
              <w:t>9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3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2. Факторы стресса и способы справления</w:t>
            </w:r>
          </w:p>
        </w:tc>
        <w:tc>
          <w:tcPr>
            <w:tcW w:type="dxa" w:w="1643"/>
          </w:tcPr>
          <w:p>
            <w:r>
              <w:t>9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3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3. Управление энергией и приоритетами</w:t>
            </w:r>
          </w:p>
        </w:tc>
        <w:tc>
          <w:tcPr>
            <w:tcW w:type="dxa" w:w="1643"/>
          </w:tcPr>
          <w:p>
            <w:r>
              <w:t>8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4. Коммуникация в стрессе</w:t>
            </w:r>
          </w:p>
        </w:tc>
        <w:tc>
          <w:tcPr>
            <w:tcW w:type="dxa" w:w="1643"/>
          </w:tcPr>
          <w:p>
            <w:r>
              <w:t>8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4</w:t>
            </w:r>
          </w:p>
        </w:tc>
        <w:tc>
          <w:tcPr>
            <w:tcW w:type="dxa" w:w="1643"/>
          </w:tcPr>
          <w:p>
            <w:r>
              <w:t>Практическое задание</w:t>
            </w:r>
          </w:p>
        </w:tc>
      </w:tr>
      <w:tr>
        <w:tc>
          <w:tcPr>
            <w:tcW w:type="dxa" w:w="1643"/>
          </w:tcPr>
          <w:p>
            <w:r>
              <w:t>Итоговая аттестация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2</w:t>
            </w:r>
          </w:p>
        </w:tc>
        <w:tc>
          <w:tcPr>
            <w:tcW w:type="dxa" w:w="1643"/>
          </w:tcPr>
          <w:p>
            <w:r>
              <w:t>0</w:t>
            </w:r>
          </w:p>
        </w:tc>
        <w:tc>
          <w:tcPr>
            <w:tcW w:type="dxa" w:w="1643"/>
          </w:tcPr>
          <w:p>
            <w:r>
              <w:t>Защита проекта</w:t>
            </w:r>
          </w:p>
        </w:tc>
      </w:tr>
      <w:tr>
        <w:tc>
          <w:tcPr>
            <w:tcW w:type="dxa" w:w="1643"/>
          </w:tcPr>
          <w:p>
            <w:r>
              <w:t>Итого</w:t>
            </w:r>
          </w:p>
        </w:tc>
        <w:tc>
          <w:tcPr>
            <w:tcW w:type="dxa" w:w="1643"/>
          </w:tcPr>
          <w:p>
            <w:r>
              <w:t>36</w:t>
            </w:r>
          </w:p>
        </w:tc>
        <w:tc>
          <w:tcPr>
            <w:tcW w:type="dxa" w:w="1643"/>
          </w:tcPr>
          <w:p>
            <w:r>
              <w:t>8</w:t>
            </w:r>
          </w:p>
        </w:tc>
        <w:tc>
          <w:tcPr>
            <w:tcW w:type="dxa" w:w="1643"/>
          </w:tcPr>
          <w:p>
            <w:r>
              <w:t>12</w:t>
            </w:r>
          </w:p>
        </w:tc>
        <w:tc>
          <w:tcPr>
            <w:tcW w:type="dxa" w:w="1643"/>
          </w:tcPr>
          <w:p>
            <w:r>
              <w:t>16</w:t>
            </w:r>
          </w:p>
        </w:tc>
        <w:tc>
          <w:tcPr>
            <w:tcW w:type="dxa" w:w="1643"/>
          </w:tcPr>
          <w:p>
            <w:r/>
          </w:p>
        </w:tc>
      </w:tr>
    </w:tbl>
    <w:p>
      <w:pPr>
        <w:pStyle w:val="Heading1"/>
      </w:pPr>
      <w:r>
        <w:t>4. Календарный учебный график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5"/>
        <w:gridCol w:w="2465"/>
        <w:gridCol w:w="2465"/>
        <w:gridCol w:w="2465"/>
      </w:tblGrid>
      <w:tr>
        <w:tc>
          <w:tcPr>
            <w:tcW w:type="dxa" w:w="2465"/>
          </w:tcPr>
          <w:p>
            <w:r>
              <w:t>Этап</w:t>
            </w:r>
          </w:p>
        </w:tc>
        <w:tc>
          <w:tcPr>
            <w:tcW w:type="dxa" w:w="2465"/>
          </w:tcPr>
          <w:p>
            <w:r>
              <w:t>Неделя</w:t>
            </w:r>
          </w:p>
        </w:tc>
        <w:tc>
          <w:tcPr>
            <w:tcW w:type="dxa" w:w="2465"/>
          </w:tcPr>
          <w:p>
            <w:r>
              <w:t>Часы</w:t>
            </w:r>
          </w:p>
        </w:tc>
        <w:tc>
          <w:tcPr>
            <w:tcW w:type="dxa" w:w="2465"/>
          </w:tcPr>
          <w:p>
            <w:r>
              <w:t>Результат</w:t>
            </w:r>
          </w:p>
        </w:tc>
      </w:tr>
      <w:tr>
        <w:tc>
          <w:tcPr>
            <w:tcW w:type="dxa" w:w="2465"/>
          </w:tcPr>
          <w:p>
            <w:r>
              <w:t>Модуль 1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9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2</w:t>
            </w:r>
          </w:p>
        </w:tc>
        <w:tc>
          <w:tcPr>
            <w:tcW w:type="dxa" w:w="2465"/>
          </w:tcPr>
          <w:p>
            <w:r>
              <w:t>1</w:t>
            </w:r>
          </w:p>
        </w:tc>
        <w:tc>
          <w:tcPr>
            <w:tcW w:type="dxa" w:w="2465"/>
          </w:tcPr>
          <w:p>
            <w:r>
              <w:t>9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3</w:t>
            </w:r>
          </w:p>
        </w:tc>
        <w:tc>
          <w:tcPr>
            <w:tcW w:type="dxa" w:w="2465"/>
          </w:tcPr>
          <w:p>
            <w:r>
              <w:t>2</w:t>
            </w:r>
          </w:p>
        </w:tc>
        <w:tc>
          <w:tcPr>
            <w:tcW w:type="dxa" w:w="2465"/>
          </w:tcPr>
          <w:p>
            <w:r>
              <w:t>8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Модуль 4</w:t>
            </w:r>
          </w:p>
        </w:tc>
        <w:tc>
          <w:tcPr>
            <w:tcW w:type="dxa" w:w="2465"/>
          </w:tcPr>
          <w:p>
            <w:r>
              <w:t>3</w:t>
            </w:r>
          </w:p>
        </w:tc>
        <w:tc>
          <w:tcPr>
            <w:tcW w:type="dxa" w:w="2465"/>
          </w:tcPr>
          <w:p>
            <w:r>
              <w:t>8</w:t>
            </w:r>
          </w:p>
        </w:tc>
        <w:tc>
          <w:tcPr>
            <w:tcW w:type="dxa" w:w="2465"/>
          </w:tcPr>
          <w:p>
            <w:r>
              <w:t>Проверенное задание по теме</w:t>
            </w:r>
          </w:p>
        </w:tc>
      </w:tr>
      <w:tr>
        <w:tc>
          <w:tcPr>
            <w:tcW w:type="dxa" w:w="2465"/>
          </w:tcPr>
          <w:p>
            <w:r>
              <w:t>Итог</w:t>
            </w:r>
          </w:p>
        </w:tc>
        <w:tc>
          <w:tcPr>
            <w:tcW w:type="dxa" w:w="2465"/>
          </w:tcPr>
          <w:p>
            <w:r>
              <w:t>3</w:t>
            </w:r>
          </w:p>
        </w:tc>
        <w:tc>
          <w:tcPr>
            <w:tcW w:type="dxa" w:w="2465"/>
          </w:tcPr>
          <w:p>
            <w:r>
              <w:t>2</w:t>
            </w:r>
          </w:p>
        </w:tc>
        <w:tc>
          <w:tcPr>
            <w:tcW w:type="dxa" w:w="2465"/>
          </w:tcPr>
          <w:p>
            <w:r>
              <w:t>Протокол аттестации</w:t>
            </w:r>
          </w:p>
        </w:tc>
      </w:tr>
    </w:tbl>
    <w:p>
      <w:r>
        <w:t>Перерыв после занятия продолжительностью 45 минут предлагается не менее 10 минут, вне учебного объёма. Нагрузка распределяется без совпадения самостоятельной работы и занятия; ежедневный объём для взрослых не более четырёх академических часов в предлагаемом календаре. Фактический календарь проверяется на суммарную нагрузку и согласуется до начала.</w:t>
      </w:r>
    </w:p>
    <w:p>
      <w:pPr>
        <w:pStyle w:val="Heading1"/>
      </w:pPr>
      <w:r>
        <w:t>5. Рабочие программы модулей</w:t>
      </w:r>
    </w:p>
    <w:p>
      <w:pPr>
        <w:pStyle w:val="Heading2"/>
      </w:pPr>
      <w:r>
        <w:t>Модуль 1. Стресс — что это и как он работает</w:t>
      </w:r>
    </w:p>
    <w:p>
      <w:r>
        <w:t>Результат: объяснить ключевые понятия темы «Стресс — что это и как он работает»,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«Стресс — что это и как он работает»: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«Стрессоустойчивость и эмоциональная устойчивость»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2. Факторы стресса и способы справления</w:t>
      </w:r>
    </w:p>
    <w:p>
      <w:r>
        <w:t>Результат: объяснить ключевые понятия темы «Факторы стресса и способы справления»,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«Факторы стресса и способы справления»: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«Стрессоустойчивость и эмоциональная устойчивость»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3. Управление энергией и приоритетами</w:t>
      </w:r>
    </w:p>
    <w:p>
      <w:r>
        <w:t>Результат: объяснить ключевые понятия темы «Управление энергией и приоритетами»,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«Управление энергией и приоритетами»: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«Стрессоустойчивость и эмоциональная устойчивость»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2"/>
      </w:pPr>
      <w:r>
        <w:t>Модуль 4. Коммуникация в стрессе</w:t>
      </w:r>
    </w:p>
    <w:p>
      <w:r>
        <w:t>Результат: объяснить ключевые понятия темы «Коммуникация в стрессе», выбрать подходящее действие и продемонстрировать его на кейсе программы.</w:t>
      </w:r>
    </w:p>
    <w:p>
      <w:r>
        <w:t>Содержание: постановка конкретной задачи темы; понятия и критерии; разбор корректного и ошибочного решения; ограничения метода; применение и проверка. Преподаватель готовит проверенные источники и демонстрационный пример по данной теме до запуска.</w:t>
      </w:r>
    </w:p>
    <w:p>
      <w:r>
        <w:t>Практика: составить решение кейса по теме «Коммуникация в стрессе»: исходные данные и цель, последовательность действий, полученный артефакт, критерий проверки, выявленные ограничения. Пример должен относиться к профессиональной области «Стрессоустойчивость и эмоциональная устойчивость» и не содержать реальных чувствительных данных. Работа выполняется с обратной связью преподавателя.</w:t>
      </w:r>
    </w:p>
    <w:p>
      <w:r>
        <w:t>Самостоятельная работа: изучить материал темы, выполнить вариант кейса с иными исходными данными, проверить источники и исправить отмеченную ошибку. Если самостоятельных часов нет, эти действия включены в предусмотренную практику и не добавляют скрытую нагрузку.</w:t>
      </w:r>
    </w:p>
    <w:p>
      <w:r>
        <w:t>Оценивание: соответствие задаче, обоснованность метода, проверяемость результата, соблюдение этики и возможность объяснить решение. Успешность: минимум три выполненных критерия из пяти при отсутствии критического нарушения конфиденциальности или безопасности. При недостатке предоставляется обратная связь и исправление по правилам Академии.</w:t>
      </w:r>
    </w:p>
    <w:p>
      <w:pPr>
        <w:pStyle w:val="Heading1"/>
      </w:pPr>
      <w:r>
        <w:t>6. Оценочные материалы и итоговая аттестация</w:t>
      </w:r>
    </w:p>
    <w:p>
      <w:r>
        <w:t>Входное задание: описать собственную задачу по направлению программы и имеющийся опыт; оно не является конкурсным экзаменом. Текущий контроль проводится по каждому модулю. Промежуточная аттестация: портфолио модульных работ, «зачтено» при успешных заданиях; академическая задолженность рассматривается в применимом порядке статьи 58 273-ФЗ.</w:t>
      </w:r>
    </w:p>
    <w:p>
      <w:r>
        <w:t>Итоговое задание: подготовить и защитить проект «Применение инструментов программы Стрессоустойчивость и эмоциональная устойчивость к практическому кейсу». Структура: проблема и исходные ограничения; выбранные методы с опорой минимум на три темы; созданный материал/сценарий/прототип; проверка на двух вариантах исходных данных; ошибки и исправления; план безопасного внедрения. Объём итогового материала 5–10 содержательных страниц или эквивалентный цифровой артефакт с пояснением. На защите ответить, почему выбран этот подход, какие альтернативы рассматривались и где границы его применения.</w:t>
      </w:r>
    </w:p>
    <w:p>
      <w:r>
        <w:t>Рубрика: пять критериев по 0–20 баллов: постановка задачи; корректность методов; полнота и работоспособность артефакта; проверка и обоснование; безопасность, этика и самостоятельное объяснение. 0 означает отсутствие; 10 частичное достижение с существенными замечаниями; 20 полное доказанное достижение; промежуточные баллы обосновываются экспертом. Итог «зачтено» от 70/100 без критических нарушений безопасности и незаконного использования данных. Использование ИИ раскрывается; автоматический детектор не заменяет экспертное решение. Результат фиксируется протоколом, слушателю предоставляются оценка и основания. Повторная попытка и обжалование по локальным актам.</w:t>
      </w:r>
    </w:p>
    <w:p>
      <w:pPr>
        <w:pStyle w:val="Heading1"/>
      </w:pPr>
      <w:r>
        <w:t>7. Условия и методическое обеспечение</w:t>
      </w:r>
    </w:p>
    <w:p>
      <w:r>
        <w:t>Преподаватель: Шиманская Виктория Александровна (д-р психол. наук). Назначение и нагрузка подтверждаются до запуска. Среда: Образовательная платформа Skillfolio и СДО АНКИИ (реестр отечественного ПО, защищённый контур), материалы в доступном текстовом виде, задания, индивидуальная обратная связь, учёт результатов, защищённый канал поддержки. Требования: компьютер/планшет, поддерживаемый браузер, доступ в Интернет; необходимое ПО и его стоимость раскрываются в договоре. Иностранный ИИ-сервис не является единственным обязательным способом выполнения задания. Образовательные персональные данные не загружаются в него без проверки законного основания.</w:t>
      </w:r>
    </w:p>
    <w:p>
      <w:r>
        <w:t>Обязательные материалы до запуска: конспекты по перечисленным модулям; демонстрационные и самостоятельные кейсы; инструкции инструментов; формы обратной связи; рубрика и примеры работ разных уровней; список актуальных первичных профессиональных источников с датой проверки. Этот проект программы не подменяет отсутствующие учебные материалы. Методист оформляет их приёмку до открытия набора.</w:t>
      </w:r>
    </w:p>
    <w:p>
      <w:r>
        <w:t>Методы: объяснение с демонстрацией, кейс, практика, рефлексия, обратная связь и защита. Адаптации по запросу: текстовая расшифровка, доступные форматы, дополнительное время без снижения результата. Учебные источники подбираются по достоверности, а не по рекламным обещаниям.</w:t>
      </w:r>
    </w:p>
    <w:p>
      <w:pPr>
        <w:pStyle w:val="Heading1"/>
      </w:pPr>
      <w:r>
        <w:t>8. Документ и лист готовности</w:t>
      </w:r>
    </w:p>
    <w:p>
      <w:r>
        <w:t>После успешного освоения выдаётся сертификат об обучении образца Академии; он не подтверждает профессиональную квалификацию и не передаётся как документ ДПО.</w:t>
      </w:r>
    </w:p>
    <w:p>
      <w:r>
        <w:t>До утверждения проверить: лицензию; трудовые функции/возрастную применимость; преподавателя; материалы; учебную среду; календарь; цену; доступность; оценочные задания. Объём 36 часов взят из опубликованных данных, но учебный план и распределение часов являются новым проектом. Опубликованная цена 6900 рублей не заменяет подписанный приказ о стоимости.</w:t>
      </w:r>
    </w:p>
    <w:p>
      <w:r>
        <w:t>Автор/методист: Жиглова Л. В.. Проверка содержания и программы: Научно-методический совет АНКИИ, протокол № 4 от 28.08.2026 г.. Утверждение: Приказ № 02-ОД от 01 сентября 2026 г.. Запуск разрешён только после устранения замечаний.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1020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Действующая редакция. Утверждено 01.09.2026 | Страница 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ООО «АНКИИ» | Документы образовательной деятельности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