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Дополнительная профессиональная программа повышения квалификации «Взаимодействие педагога с родителями в контексте ранней профилизации»</w:t>
      </w:r>
    </w:p>
    <w:p>
      <w:r>
        <w:t>Общество с ограниченной ответственностью «Академия надпрофессиональных компетенций и искусственного интеллекта»</w:t>
      </w:r>
    </w:p>
    <w:p>
      <w:pPr>
        <w:jc w:val="right"/>
      </w:pPr>
      <w:r>
        <w:t>УТВЕРЖДАЮ</w:t>
      </w:r>
    </w:p>
    <w:p>
      <w:pPr>
        <w:spacing w:after="40"/>
        <w:jc w:val="right"/>
      </w:pPr>
      <w:r>
        <w:t>Генеральный директор ООО «АНКИИ»</w:t>
      </w:r>
    </w:p>
    <w:p>
      <w:pPr>
        <w:spacing w:before="40" w:after="40"/>
        <w:jc w:val="right"/>
      </w:pPr>
      <w:r/>
    </w:p>
    <w:p>
      <w:pPr>
        <w:spacing w:before="20" w:after="20"/>
        <w:jc w:val="right"/>
      </w:pPr>
      <w:r>
        <w:t>Шиманский Алексей Андреевич</w:t>
      </w:r>
    </w:p>
    <w:p>
      <w:pPr>
        <w:spacing w:before="20"/>
        <w:jc w:val="right"/>
      </w:pPr>
      <w:r>
        <w:t>Приказ № 02-ОД от 01 сентября 2026 г.</w:t>
      </w:r>
    </w:p>
    <w:p>
      <w:pPr>
        <w:pStyle w:val="Heading1"/>
      </w:pPr>
      <w:r>
        <w:t>1. Паспорт программы</w:t>
      </w:r>
    </w:p>
    <w:p>
      <w:r>
        <w:t>Вид: Дополнительная профессиональная программа повышения квалификации. Название: «Взаимодействие педагога с родителями в контексте ранней профилизации». Форма: заочная с электронным обучением и дистанционными технологиями; занятия с преподавателем по расписанию. Объём: 36 академических часов по 45 минут. Предлагаемый срок: 3 недель. Конкретные даты и время задаются календарём группы до договора. Язык: русский.</w:t>
      </w:r>
    </w:p>
    <w:p>
      <w:r>
        <w:t>Категория слушателей: Педагоги начальной школы, школьные психологи. Допуск: наличие или получение СПО/высшего образования, проверяемое до зачисления. Программа совершенствует компетенции в имеющейся квалификации и не присваивает новую профессию.</w:t>
      </w:r>
    </w:p>
    <w:p>
      <w:r>
        <w:t>Основания: 273-ФЗ и приказ Минобрнауки № 266 от 24.03.2025.</w:t>
      </w:r>
    </w:p>
    <w:p>
      <w:r>
        <w:t>Профессиональная область/направление: Деятельность по психолого-педагогическому сопровождению образовательного процесса. Перед утверждением методист сопоставляет трудовые функции целевой аудитории с действующим профессиональным стандартом либо квалификационными требованиями и фиксирует реквизиты и конкретные функции в листе согласования. Для педагогов проверяется применимость стандарта № 652н от 22.09.2021; для иных ролей он не используется автоматически. Специализированная диагностика и лечение не являются результатами программы.</w:t>
      </w:r>
    </w:p>
    <w:p>
      <w:pPr>
        <w:pStyle w:val="Heading1"/>
      </w:pPr>
      <w:r>
        <w:t>2. Цель и результаты</w:t>
      </w:r>
    </w:p>
    <w:p>
      <w:r>
        <w:t>Цель: освоить способы решения практических задач направления «Взаимодействие педагога с родителями в контексте ранней профилизации», обосновывать выбор инструмента и оценивать результат. Слушатель знает содержание тем, критерии качества, типичные ошибки и ограничения; умеет применять изученные методы к учебному кейсу; демонстрирует готовый проект, аргументирует решения и корректирует работу по обратной связи. Результат каждой темы проверяется отдельным заданием, а не фактом просмотра записи.</w:t>
      </w:r>
    </w:p>
    <w:p>
      <w:pPr>
        <w:pStyle w:val="Heading1"/>
      </w:pPr>
      <w:r>
        <w:t>3. Учебный план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643"/>
        <w:gridCol w:w="1643"/>
        <w:gridCol w:w="1643"/>
        <w:gridCol w:w="1643"/>
        <w:gridCol w:w="1643"/>
        <w:gridCol w:w="1643"/>
      </w:tblGrid>
      <w:tr>
        <w:tc>
          <w:tcPr>
            <w:tcW w:type="dxa" w:w="1643"/>
          </w:tcPr>
          <w:p>
            <w:r>
              <w:t>№ / модуль</w:t>
            </w:r>
          </w:p>
        </w:tc>
        <w:tc>
          <w:tcPr>
            <w:tcW w:type="dxa" w:w="1643"/>
          </w:tcPr>
          <w:p>
            <w:r>
              <w:t>Всего</w:t>
            </w:r>
          </w:p>
        </w:tc>
        <w:tc>
          <w:tcPr>
            <w:tcW w:type="dxa" w:w="1643"/>
          </w:tcPr>
          <w:p>
            <w:r>
              <w:t>Теория с преподавателем</w:t>
            </w:r>
          </w:p>
        </w:tc>
        <w:tc>
          <w:tcPr>
            <w:tcW w:type="dxa" w:w="1643"/>
          </w:tcPr>
          <w:p>
            <w:r>
              <w:t>Практика с преподавателем</w:t>
            </w:r>
          </w:p>
        </w:tc>
        <w:tc>
          <w:tcPr>
            <w:tcW w:type="dxa" w:w="1643"/>
          </w:tcPr>
          <w:p>
            <w:r>
              <w:t>Самостоятельно</w:t>
            </w:r>
          </w:p>
        </w:tc>
        <w:tc>
          <w:tcPr>
            <w:tcW w:type="dxa" w:w="1643"/>
          </w:tcPr>
          <w:p>
            <w:r>
              <w:t>Контроль</w:t>
            </w:r>
          </w:p>
        </w:tc>
      </w:tr>
      <w:tr>
        <w:tc>
          <w:tcPr>
            <w:tcW w:type="dxa" w:w="1643"/>
          </w:tcPr>
          <w:p>
            <w:r>
              <w:t>1. Запрос семьи и субъектность ребёнка</w:t>
            </w:r>
          </w:p>
        </w:tc>
        <w:tc>
          <w:tcPr>
            <w:tcW w:type="dxa" w:w="1643"/>
          </w:tcPr>
          <w:p>
            <w:r>
              <w:t>7</w:t>
            </w:r>
          </w:p>
        </w:tc>
        <w:tc>
          <w:tcPr>
            <w:tcW w:type="dxa" w:w="1643"/>
          </w:tcPr>
          <w:p>
            <w:r>
              <w:t>1</w:t>
            </w:r>
          </w:p>
        </w:tc>
        <w:tc>
          <w:tcPr>
            <w:tcW w:type="dxa" w:w="1643"/>
          </w:tcPr>
          <w:p>
            <w:r>
              <w:t>2</w:t>
            </w:r>
          </w:p>
        </w:tc>
        <w:tc>
          <w:tcPr>
            <w:tcW w:type="dxa" w:w="1643"/>
          </w:tcPr>
          <w:p>
            <w:r>
              <w:t>4</w:t>
            </w:r>
          </w:p>
        </w:tc>
        <w:tc>
          <w:tcPr>
            <w:tcW w:type="dxa" w:w="1643"/>
          </w:tcPr>
          <w:p>
            <w:r>
              <w:t>Практическое задание</w:t>
            </w:r>
          </w:p>
        </w:tc>
      </w:tr>
      <w:tr>
        <w:tc>
          <w:tcPr>
            <w:tcW w:type="dxa" w:w="1643"/>
          </w:tcPr>
          <w:p>
            <w:r>
              <w:t>2. Возрастные особенности выбора</w:t>
            </w:r>
          </w:p>
        </w:tc>
        <w:tc>
          <w:tcPr>
            <w:tcW w:type="dxa" w:w="1643"/>
          </w:tcPr>
          <w:p>
            <w:r>
              <w:t>7</w:t>
            </w:r>
          </w:p>
        </w:tc>
        <w:tc>
          <w:tcPr>
            <w:tcW w:type="dxa" w:w="1643"/>
          </w:tcPr>
          <w:p>
            <w:r>
              <w:t>1</w:t>
            </w:r>
          </w:p>
        </w:tc>
        <w:tc>
          <w:tcPr>
            <w:tcW w:type="dxa" w:w="1643"/>
          </w:tcPr>
          <w:p>
            <w:r>
              <w:t>2</w:t>
            </w:r>
          </w:p>
        </w:tc>
        <w:tc>
          <w:tcPr>
            <w:tcW w:type="dxa" w:w="1643"/>
          </w:tcPr>
          <w:p>
            <w:r>
              <w:t>4</w:t>
            </w:r>
          </w:p>
        </w:tc>
        <w:tc>
          <w:tcPr>
            <w:tcW w:type="dxa" w:w="1643"/>
          </w:tcPr>
          <w:p>
            <w:r>
              <w:t>Практическое задание</w:t>
            </w:r>
          </w:p>
        </w:tc>
      </w:tr>
      <w:tr>
        <w:tc>
          <w:tcPr>
            <w:tcW w:type="dxa" w:w="1643"/>
          </w:tcPr>
          <w:p>
            <w:r>
              <w:t>3. Интересы и способности без ярлыков</w:t>
            </w:r>
          </w:p>
        </w:tc>
        <w:tc>
          <w:tcPr>
            <w:tcW w:type="dxa" w:w="1643"/>
          </w:tcPr>
          <w:p>
            <w:r>
              <w:t>7</w:t>
            </w:r>
          </w:p>
        </w:tc>
        <w:tc>
          <w:tcPr>
            <w:tcW w:type="dxa" w:w="1643"/>
          </w:tcPr>
          <w:p>
            <w:r>
              <w:t>1</w:t>
            </w:r>
          </w:p>
        </w:tc>
        <w:tc>
          <w:tcPr>
            <w:tcW w:type="dxa" w:w="1643"/>
          </w:tcPr>
          <w:p>
            <w:r>
              <w:t>2</w:t>
            </w:r>
          </w:p>
        </w:tc>
        <w:tc>
          <w:tcPr>
            <w:tcW w:type="dxa" w:w="1643"/>
          </w:tcPr>
          <w:p>
            <w:r>
              <w:t>4</w:t>
            </w:r>
          </w:p>
        </w:tc>
        <w:tc>
          <w:tcPr>
            <w:tcW w:type="dxa" w:w="1643"/>
          </w:tcPr>
          <w:p>
            <w:r>
              <w:t>Практическое задание</w:t>
            </w:r>
          </w:p>
        </w:tc>
      </w:tr>
      <w:tr>
        <w:tc>
          <w:tcPr>
            <w:tcW w:type="dxa" w:w="1643"/>
          </w:tcPr>
          <w:p>
            <w:r>
              <w:t>4. Исследование образовательных маршрутов</w:t>
            </w:r>
          </w:p>
        </w:tc>
        <w:tc>
          <w:tcPr>
            <w:tcW w:type="dxa" w:w="1643"/>
          </w:tcPr>
          <w:p>
            <w:r>
              <w:t>7</w:t>
            </w:r>
          </w:p>
        </w:tc>
        <w:tc>
          <w:tcPr>
            <w:tcW w:type="dxa" w:w="1643"/>
          </w:tcPr>
          <w:p>
            <w:r>
              <w:t>1</w:t>
            </w:r>
          </w:p>
        </w:tc>
        <w:tc>
          <w:tcPr>
            <w:tcW w:type="dxa" w:w="1643"/>
          </w:tcPr>
          <w:p>
            <w:r>
              <w:t>2</w:t>
            </w:r>
          </w:p>
        </w:tc>
        <w:tc>
          <w:tcPr>
            <w:tcW w:type="dxa" w:w="1643"/>
          </w:tcPr>
          <w:p>
            <w:r>
              <w:t>4</w:t>
            </w:r>
          </w:p>
        </w:tc>
        <w:tc>
          <w:tcPr>
            <w:tcW w:type="dxa" w:w="1643"/>
          </w:tcPr>
          <w:p>
            <w:r>
              <w:t>Практическое задание</w:t>
            </w:r>
          </w:p>
        </w:tc>
      </w:tr>
      <w:tr>
        <w:tc>
          <w:tcPr>
            <w:tcW w:type="dxa" w:w="1643"/>
          </w:tcPr>
          <w:p>
            <w:r>
              <w:t>5. Семейный план действий и границы консультирования</w:t>
            </w:r>
          </w:p>
        </w:tc>
        <w:tc>
          <w:tcPr>
            <w:tcW w:type="dxa" w:w="1643"/>
          </w:tcPr>
          <w:p>
            <w:r>
              <w:t>6</w:t>
            </w:r>
          </w:p>
        </w:tc>
        <w:tc>
          <w:tcPr>
            <w:tcW w:type="dxa" w:w="1643"/>
          </w:tcPr>
          <w:p>
            <w:r>
              <w:t>1</w:t>
            </w:r>
          </w:p>
        </w:tc>
        <w:tc>
          <w:tcPr>
            <w:tcW w:type="dxa" w:w="1643"/>
          </w:tcPr>
          <w:p>
            <w:r>
              <w:t>2</w:t>
            </w:r>
          </w:p>
        </w:tc>
        <w:tc>
          <w:tcPr>
            <w:tcW w:type="dxa" w:w="1643"/>
          </w:tcPr>
          <w:p>
            <w:r>
              <w:t>3</w:t>
            </w:r>
          </w:p>
        </w:tc>
        <w:tc>
          <w:tcPr>
            <w:tcW w:type="dxa" w:w="1643"/>
          </w:tcPr>
          <w:p>
            <w:r>
              <w:t>Практическое задание</w:t>
            </w:r>
          </w:p>
        </w:tc>
      </w:tr>
      <w:tr>
        <w:tc>
          <w:tcPr>
            <w:tcW w:type="dxa" w:w="1643"/>
          </w:tcPr>
          <w:p>
            <w:r>
              <w:t>Итоговая аттестация</w:t>
            </w:r>
          </w:p>
        </w:tc>
        <w:tc>
          <w:tcPr>
            <w:tcW w:type="dxa" w:w="1643"/>
          </w:tcPr>
          <w:p>
            <w:r>
              <w:t>2</w:t>
            </w:r>
          </w:p>
        </w:tc>
        <w:tc>
          <w:tcPr>
            <w:tcW w:type="dxa" w:w="1643"/>
          </w:tcPr>
          <w:p>
            <w:r>
              <w:t>0</w:t>
            </w:r>
          </w:p>
        </w:tc>
        <w:tc>
          <w:tcPr>
            <w:tcW w:type="dxa" w:w="1643"/>
          </w:tcPr>
          <w:p>
            <w:r>
              <w:t>2</w:t>
            </w:r>
          </w:p>
        </w:tc>
        <w:tc>
          <w:tcPr>
            <w:tcW w:type="dxa" w:w="1643"/>
          </w:tcPr>
          <w:p>
            <w:r>
              <w:t>0</w:t>
            </w:r>
          </w:p>
        </w:tc>
        <w:tc>
          <w:tcPr>
            <w:tcW w:type="dxa" w:w="1643"/>
          </w:tcPr>
          <w:p>
            <w:r>
              <w:t>Защита проекта</w:t>
            </w:r>
          </w:p>
        </w:tc>
      </w:tr>
      <w:tr>
        <w:tc>
          <w:tcPr>
            <w:tcW w:type="dxa" w:w="1643"/>
          </w:tcPr>
          <w:p>
            <w:r>
              <w:t>Итого</w:t>
            </w:r>
          </w:p>
        </w:tc>
        <w:tc>
          <w:tcPr>
            <w:tcW w:type="dxa" w:w="1643"/>
          </w:tcPr>
          <w:p>
            <w:r>
              <w:t>36</w:t>
            </w:r>
          </w:p>
        </w:tc>
        <w:tc>
          <w:tcPr>
            <w:tcW w:type="dxa" w:w="1643"/>
          </w:tcPr>
          <w:p>
            <w:r>
              <w:t>5</w:t>
            </w:r>
          </w:p>
        </w:tc>
        <w:tc>
          <w:tcPr>
            <w:tcW w:type="dxa" w:w="1643"/>
          </w:tcPr>
          <w:p>
            <w:r>
              <w:t>12</w:t>
            </w:r>
          </w:p>
        </w:tc>
        <w:tc>
          <w:tcPr>
            <w:tcW w:type="dxa" w:w="1643"/>
          </w:tcPr>
          <w:p>
            <w:r>
              <w:t>19</w:t>
            </w:r>
          </w:p>
        </w:tc>
        <w:tc>
          <w:tcPr>
            <w:tcW w:type="dxa" w:w="1643"/>
          </w:tcPr>
          <w:p>
            <w:r/>
          </w:p>
        </w:tc>
      </w:tr>
    </w:tbl>
    <w:p>
      <w:pPr>
        <w:pStyle w:val="Heading1"/>
      </w:pPr>
      <w:r>
        <w:t>4. Календарный учебный график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65"/>
        <w:gridCol w:w="2465"/>
        <w:gridCol w:w="2465"/>
        <w:gridCol w:w="2465"/>
      </w:tblGrid>
      <w:tr>
        <w:tc>
          <w:tcPr>
            <w:tcW w:type="dxa" w:w="2465"/>
          </w:tcPr>
          <w:p>
            <w:r>
              <w:t>Этап</w:t>
            </w:r>
          </w:p>
        </w:tc>
        <w:tc>
          <w:tcPr>
            <w:tcW w:type="dxa" w:w="2465"/>
          </w:tcPr>
          <w:p>
            <w:r>
              <w:t>Неделя</w:t>
            </w:r>
          </w:p>
        </w:tc>
        <w:tc>
          <w:tcPr>
            <w:tcW w:type="dxa" w:w="2465"/>
          </w:tcPr>
          <w:p>
            <w:r>
              <w:t>Часы</w:t>
            </w:r>
          </w:p>
        </w:tc>
        <w:tc>
          <w:tcPr>
            <w:tcW w:type="dxa" w:w="2465"/>
          </w:tcPr>
          <w:p>
            <w:r>
              <w:t>Результат</w:t>
            </w:r>
          </w:p>
        </w:tc>
      </w:tr>
      <w:tr>
        <w:tc>
          <w:tcPr>
            <w:tcW w:type="dxa" w:w="2465"/>
          </w:tcPr>
          <w:p>
            <w:r>
              <w:t>Модуль 1</w:t>
            </w:r>
          </w:p>
        </w:tc>
        <w:tc>
          <w:tcPr>
            <w:tcW w:type="dxa" w:w="2465"/>
          </w:tcPr>
          <w:p>
            <w:r>
              <w:t>1</w:t>
            </w:r>
          </w:p>
        </w:tc>
        <w:tc>
          <w:tcPr>
            <w:tcW w:type="dxa" w:w="2465"/>
          </w:tcPr>
          <w:p>
            <w:r>
              <w:t>7</w:t>
            </w:r>
          </w:p>
        </w:tc>
        <w:tc>
          <w:tcPr>
            <w:tcW w:type="dxa" w:w="2465"/>
          </w:tcPr>
          <w:p>
            <w:r>
              <w:t>Проверенное задание по теме</w:t>
            </w:r>
          </w:p>
        </w:tc>
      </w:tr>
      <w:tr>
        <w:tc>
          <w:tcPr>
            <w:tcW w:type="dxa" w:w="2465"/>
          </w:tcPr>
          <w:p>
            <w:r>
              <w:t>Модуль 2</w:t>
            </w:r>
          </w:p>
        </w:tc>
        <w:tc>
          <w:tcPr>
            <w:tcW w:type="dxa" w:w="2465"/>
          </w:tcPr>
          <w:p>
            <w:r>
              <w:t>1</w:t>
            </w:r>
          </w:p>
        </w:tc>
        <w:tc>
          <w:tcPr>
            <w:tcW w:type="dxa" w:w="2465"/>
          </w:tcPr>
          <w:p>
            <w:r>
              <w:t>7</w:t>
            </w:r>
          </w:p>
        </w:tc>
        <w:tc>
          <w:tcPr>
            <w:tcW w:type="dxa" w:w="2465"/>
          </w:tcPr>
          <w:p>
            <w:r>
              <w:t>Проверенное задание по теме</w:t>
            </w:r>
          </w:p>
        </w:tc>
      </w:tr>
      <w:tr>
        <w:tc>
          <w:tcPr>
            <w:tcW w:type="dxa" w:w="2465"/>
          </w:tcPr>
          <w:p>
            <w:r>
              <w:t>Модуль 3</w:t>
            </w:r>
          </w:p>
        </w:tc>
        <w:tc>
          <w:tcPr>
            <w:tcW w:type="dxa" w:w="2465"/>
          </w:tcPr>
          <w:p>
            <w:r>
              <w:t>2</w:t>
            </w:r>
          </w:p>
        </w:tc>
        <w:tc>
          <w:tcPr>
            <w:tcW w:type="dxa" w:w="2465"/>
          </w:tcPr>
          <w:p>
            <w:r>
              <w:t>7</w:t>
            </w:r>
          </w:p>
        </w:tc>
        <w:tc>
          <w:tcPr>
            <w:tcW w:type="dxa" w:w="2465"/>
          </w:tcPr>
          <w:p>
            <w:r>
              <w:t>Проверенное задание по теме</w:t>
            </w:r>
          </w:p>
        </w:tc>
      </w:tr>
      <w:tr>
        <w:tc>
          <w:tcPr>
            <w:tcW w:type="dxa" w:w="2465"/>
          </w:tcPr>
          <w:p>
            <w:r>
              <w:t>Модуль 4</w:t>
            </w:r>
          </w:p>
        </w:tc>
        <w:tc>
          <w:tcPr>
            <w:tcW w:type="dxa" w:w="2465"/>
          </w:tcPr>
          <w:p>
            <w:r>
              <w:t>2</w:t>
            </w:r>
          </w:p>
        </w:tc>
        <w:tc>
          <w:tcPr>
            <w:tcW w:type="dxa" w:w="2465"/>
          </w:tcPr>
          <w:p>
            <w:r>
              <w:t>7</w:t>
            </w:r>
          </w:p>
        </w:tc>
        <w:tc>
          <w:tcPr>
            <w:tcW w:type="dxa" w:w="2465"/>
          </w:tcPr>
          <w:p>
            <w:r>
              <w:t>Проверенное задание по теме</w:t>
            </w:r>
          </w:p>
        </w:tc>
      </w:tr>
      <w:tr>
        <w:tc>
          <w:tcPr>
            <w:tcW w:type="dxa" w:w="2465"/>
          </w:tcPr>
          <w:p>
            <w:r>
              <w:t>Модуль 5</w:t>
            </w:r>
          </w:p>
        </w:tc>
        <w:tc>
          <w:tcPr>
            <w:tcW w:type="dxa" w:w="2465"/>
          </w:tcPr>
          <w:p>
            <w:r>
              <w:t>3</w:t>
            </w:r>
          </w:p>
        </w:tc>
        <w:tc>
          <w:tcPr>
            <w:tcW w:type="dxa" w:w="2465"/>
          </w:tcPr>
          <w:p>
            <w:r>
              <w:t>6</w:t>
            </w:r>
          </w:p>
        </w:tc>
        <w:tc>
          <w:tcPr>
            <w:tcW w:type="dxa" w:w="2465"/>
          </w:tcPr>
          <w:p>
            <w:r>
              <w:t>Проверенное задание по теме</w:t>
            </w:r>
          </w:p>
        </w:tc>
      </w:tr>
      <w:tr>
        <w:tc>
          <w:tcPr>
            <w:tcW w:type="dxa" w:w="2465"/>
          </w:tcPr>
          <w:p>
            <w:r>
              <w:t>Итог</w:t>
            </w:r>
          </w:p>
        </w:tc>
        <w:tc>
          <w:tcPr>
            <w:tcW w:type="dxa" w:w="2465"/>
          </w:tcPr>
          <w:p>
            <w:r>
              <w:t>3</w:t>
            </w:r>
          </w:p>
        </w:tc>
        <w:tc>
          <w:tcPr>
            <w:tcW w:type="dxa" w:w="2465"/>
          </w:tcPr>
          <w:p>
            <w:r>
              <w:t>2</w:t>
            </w:r>
          </w:p>
        </w:tc>
        <w:tc>
          <w:tcPr>
            <w:tcW w:type="dxa" w:w="2465"/>
          </w:tcPr>
          <w:p>
            <w:r>
              <w:t>Протокол аттестации</w:t>
            </w:r>
          </w:p>
        </w:tc>
      </w:tr>
    </w:tbl>
    <w:p>
      <w:r>
        <w:t>Перерыв после занятия продолжительностью 45 минут предлагается не менее 10 минут, вне учебного объёма. Нагрузка распределяется без совпадения самостоятельной работы и занятия; ежедневный объём для взрослых не более четырёх академических часов в предлагаемом календаре. Фактический календарь проверяется на суммарную нагрузку и согласуется до начала.</w:t>
      </w:r>
    </w:p>
    <w:p>
      <w:pPr>
        <w:pStyle w:val="Heading1"/>
      </w:pPr>
      <w:r>
        <w:t>5. Рабочие программы модулей</w:t>
      </w:r>
    </w:p>
    <w:p>
      <w:pPr>
        <w:pStyle w:val="Heading2"/>
      </w:pPr>
      <w:r>
        <w:t>Модуль 1. Запрос семьи и субъектность ребёнка</w:t>
      </w:r>
    </w:p>
    <w:p>
      <w:r>
        <w:t>Результат: объяснить ключевые понятия темы «Запрос семьи и субъектность ребёнка», выбрать подходящее действие и продемонстрировать его на кейсе программы.</w:t>
      </w:r>
    </w:p>
    <w:p>
      <w:r>
        <w:t>Содержание: постановка конкретной задачи темы; понятия и критерии; разбор корректного и ошибочного решения; ограничения метода; применение и проверка. Преподаватель готовит проверенные источники и демонстрационный пример по данной теме до запуска.</w:t>
      </w:r>
    </w:p>
    <w:p>
      <w:r>
        <w:t>Практика: составить решение кейса по теме «Запрос семьи и субъектность ребёнка»: исходные данные и цель, последовательность действий, полученный артефакт, критерий проверки, выявленные ограничения. Пример должен относиться к профессиональной области «Деятельность по психолого-педагогическому сопровождению образовательного процесса» и не содержать реальных чувствительных данных. Работа выполняется с обратной связью преподавателя.</w:t>
      </w:r>
    </w:p>
    <w:p>
      <w:r>
        <w:t>Самостоятельная работа: изучить материал темы, выполнить вариант кейса с иными исходными данными, проверить источники и исправить отмеченную ошибку. Если самостоятельных часов нет, эти действия включены в предусмотренную практику и не добавляют скрытую нагрузку.</w:t>
      </w:r>
    </w:p>
    <w:p>
      <w:r>
        <w:t>Оценивание: соответствие задаче, обоснованность метода, проверяемость результата, соблюдение этики и возможность объяснить решение. Успешность: минимум три выполненных критерия из пяти при отсутствии критического нарушения конфиденциальности или безопасности. При недостатке предоставляется обратная связь и исправление по правилам Академии.</w:t>
      </w:r>
    </w:p>
    <w:p>
      <w:pPr>
        <w:pStyle w:val="Heading2"/>
      </w:pPr>
      <w:r>
        <w:t>Модуль 2. Возрастные особенности выбора</w:t>
      </w:r>
    </w:p>
    <w:p>
      <w:r>
        <w:t>Результат: объяснить ключевые понятия темы «Возрастные особенности выбора», выбрать подходящее действие и продемонстрировать его на кейсе программы.</w:t>
      </w:r>
    </w:p>
    <w:p>
      <w:r>
        <w:t>Содержание: постановка конкретной задачи темы; понятия и критерии; разбор корректного и ошибочного решения; ограничения метода; применение и проверка. Преподаватель готовит проверенные источники и демонстрационный пример по данной теме до запуска.</w:t>
      </w:r>
    </w:p>
    <w:p>
      <w:r>
        <w:t>Практика: составить решение кейса по теме «Возрастные особенности выбора»: исходные данные и цель, последовательность действий, полученный артефакт, критерий проверки, выявленные ограничения. Пример должен относиться к профессиональной области «Деятельность по психолого-педагогическому сопровождению образовательного процесса» и не содержать реальных чувствительных данных. Работа выполняется с обратной связью преподавателя.</w:t>
      </w:r>
    </w:p>
    <w:p>
      <w:r>
        <w:t>Самостоятельная работа: изучить материал темы, выполнить вариант кейса с иными исходными данными, проверить источники и исправить отмеченную ошибку. Если самостоятельных часов нет, эти действия включены в предусмотренную практику и не добавляют скрытую нагрузку.</w:t>
      </w:r>
    </w:p>
    <w:p>
      <w:r>
        <w:t>Оценивание: соответствие задаче, обоснованность метода, проверяемость результата, соблюдение этики и возможность объяснить решение. Успешность: минимум три выполненных критерия из пяти при отсутствии критического нарушения конфиденциальности или безопасности. При недостатке предоставляется обратная связь и исправление по правилам Академии.</w:t>
      </w:r>
    </w:p>
    <w:p>
      <w:pPr>
        <w:pStyle w:val="Heading2"/>
      </w:pPr>
      <w:r>
        <w:t>Модуль 3. Интересы и способности без ярлыков</w:t>
      </w:r>
    </w:p>
    <w:p>
      <w:r>
        <w:t>Результат: объяснить ключевые понятия темы «Интересы и способности без ярлыков», выбрать подходящее действие и продемонстрировать его на кейсе программы.</w:t>
      </w:r>
    </w:p>
    <w:p>
      <w:r>
        <w:t>Содержание: постановка конкретной задачи темы; понятия и критерии; разбор корректного и ошибочного решения; ограничения метода; применение и проверка. Преподаватель готовит проверенные источники и демонстрационный пример по данной теме до запуска.</w:t>
      </w:r>
    </w:p>
    <w:p>
      <w:r>
        <w:t>Практика: составить решение кейса по теме «Интересы и способности без ярлыков»: исходные данные и цель, последовательность действий, полученный артефакт, критерий проверки, выявленные ограничения. Пример должен относиться к профессиональной области «Деятельность по психолого-педагогическому сопровождению образовательного процесса» и не содержать реальных чувствительных данных. Работа выполняется с обратной связью преподавателя.</w:t>
      </w:r>
    </w:p>
    <w:p>
      <w:r>
        <w:t>Самостоятельная работа: изучить материал темы, выполнить вариант кейса с иными исходными данными, проверить источники и исправить отмеченную ошибку. Если самостоятельных часов нет, эти действия включены в предусмотренную практику и не добавляют скрытую нагрузку.</w:t>
      </w:r>
    </w:p>
    <w:p>
      <w:r>
        <w:t>Оценивание: соответствие задаче, обоснованность метода, проверяемость результата, соблюдение этики и возможность объяснить решение. Успешность: минимум три выполненных критерия из пяти при отсутствии критического нарушения конфиденциальности или безопасности. При недостатке предоставляется обратная связь и исправление по правилам Академии.</w:t>
      </w:r>
    </w:p>
    <w:p>
      <w:pPr>
        <w:pStyle w:val="Heading2"/>
      </w:pPr>
      <w:r>
        <w:t>Модуль 4. Исследование образовательных маршрутов</w:t>
      </w:r>
    </w:p>
    <w:p>
      <w:r>
        <w:t>Результат: объяснить ключевые понятия темы «Исследование образовательных маршрутов», выбрать подходящее действие и продемонстрировать его на кейсе программы.</w:t>
      </w:r>
    </w:p>
    <w:p>
      <w:r>
        <w:t>Содержание: постановка конкретной задачи темы; понятия и критерии; разбор корректного и ошибочного решения; ограничения метода; применение и проверка. Преподаватель готовит проверенные источники и демонстрационный пример по данной теме до запуска.</w:t>
      </w:r>
    </w:p>
    <w:p>
      <w:r>
        <w:t>Практика: составить решение кейса по теме «Исследование образовательных маршрутов»: исходные данные и цель, последовательность действий, полученный артефакт, критерий проверки, выявленные ограничения. Пример должен относиться к профессиональной области «Деятельность по психолого-педагогическому сопровождению образовательного процесса» и не содержать реальных чувствительных данных. Работа выполняется с обратной связью преподавателя.</w:t>
      </w:r>
    </w:p>
    <w:p>
      <w:r>
        <w:t>Самостоятельная работа: изучить материал темы, выполнить вариант кейса с иными исходными данными, проверить источники и исправить отмеченную ошибку. Если самостоятельных часов нет, эти действия включены в предусмотренную практику и не добавляют скрытую нагрузку.</w:t>
      </w:r>
    </w:p>
    <w:p>
      <w:r>
        <w:t>Оценивание: соответствие задаче, обоснованность метода, проверяемость результата, соблюдение этики и возможность объяснить решение. Успешность: минимум три выполненных критерия из пяти при отсутствии критического нарушения конфиденциальности или безопасности. При недостатке предоставляется обратная связь и исправление по правилам Академии.</w:t>
      </w:r>
    </w:p>
    <w:p>
      <w:pPr>
        <w:pStyle w:val="Heading2"/>
      </w:pPr>
      <w:r>
        <w:t>Модуль 5. Семейный план действий и границы консультирования</w:t>
      </w:r>
    </w:p>
    <w:p>
      <w:r>
        <w:t>Результат: объяснить ключевые понятия темы «Семейный план действий и границы консультирования», выбрать подходящее действие и продемонстрировать его на кейсе программы.</w:t>
      </w:r>
    </w:p>
    <w:p>
      <w:r>
        <w:t>Содержание: постановка конкретной задачи темы; понятия и критерии; разбор корректного и ошибочного решения; ограничения метода; применение и проверка. Преподаватель готовит проверенные источники и демонстрационный пример по данной теме до запуска.</w:t>
      </w:r>
    </w:p>
    <w:p>
      <w:r>
        <w:t>Практика: составить решение кейса по теме «Семейный план действий и границы консультирования»: исходные данные и цель, последовательность действий, полученный артефакт, критерий проверки, выявленные ограничения. Пример должен относиться к профессиональной области «Деятельность по психолого-педагогическому сопровождению образовательного процесса» и не содержать реальных чувствительных данных. Работа выполняется с обратной связью преподавателя.</w:t>
      </w:r>
    </w:p>
    <w:p>
      <w:r>
        <w:t>Самостоятельная работа: изучить материал темы, выполнить вариант кейса с иными исходными данными, проверить источники и исправить отмеченную ошибку. Если самостоятельных часов нет, эти действия включены в предусмотренную практику и не добавляют скрытую нагрузку.</w:t>
      </w:r>
    </w:p>
    <w:p>
      <w:r>
        <w:t>Оценивание: соответствие задаче, обоснованность метода, проверяемость результата, соблюдение этики и возможность объяснить решение. Успешность: минимум три выполненных критерия из пяти при отсутствии критического нарушения конфиденциальности или безопасности. При недостатке предоставляется обратная связь и исправление по правилам Академии.</w:t>
      </w:r>
    </w:p>
    <w:p>
      <w:pPr>
        <w:pStyle w:val="Heading1"/>
      </w:pPr>
      <w:r>
        <w:t>6. Оценочные материалы и итоговая аттестация</w:t>
      </w:r>
    </w:p>
    <w:p>
      <w:r>
        <w:t>Входное задание: описать собственную задачу по направлению программы и имеющийся опыт; оно не является конкурсным экзаменом. Текущий контроль проводится по каждому модулю. Промежуточная аттестация: портфолио модульных работ, «зачтено» при успешных заданиях; академическая задолженность рассматривается в применимом порядке статьи 58 273-ФЗ.</w:t>
      </w:r>
    </w:p>
    <w:p>
      <w:r>
        <w:t>Итоговое задание: подготовить и защитить проект «Применение инструментов программы Взаимодействие педагога с родителями в контексте ранней профилизации к практическому кейсу». Структура: проблема и исходные ограничения; выбранные методы с опорой минимум на три темы; созданный материал/сценарий/прототип; проверка на двух вариантах исходных данных; ошибки и исправления; план безопасного внедрения. Объём итогового материала 5–10 содержательных страниц или эквивалентный цифровой артефакт с пояснением. На защите ответить, почему выбран этот подход, какие альтернативы рассматривались и где границы его применения.</w:t>
      </w:r>
    </w:p>
    <w:p>
      <w:r>
        <w:t>Рубрика: пять критериев по 0–20 баллов: постановка задачи; корректность методов; полнота и работоспособность артефакта; проверка и обоснование; безопасность, этика и самостоятельное объяснение. 0 означает отсутствие; 10 частичное достижение с существенными замечаниями; 20 полное доказанное достижение; промежуточные баллы обосновываются экспертом. Итог «зачтено» от 70/100 без критических нарушений безопасности и незаконного использования данных. Использование ИИ раскрывается; автоматический детектор не заменяет экспертное решение. Результат фиксируется протоколом, слушателю предоставляются оценка и основания. Повторная попытка и обжалование по локальным актам.</w:t>
      </w:r>
    </w:p>
    <w:p>
      <w:pPr>
        <w:pStyle w:val="Heading1"/>
      </w:pPr>
      <w:r>
        <w:t>7. Условия и методическое обеспечение</w:t>
      </w:r>
    </w:p>
    <w:p>
      <w:r>
        <w:t>Преподаватель: Веденеева Алла Владимировна (психолог по детско-родительским отношениям, лектор РО «Знание»). Назначение и нагрузка подтверждаются до запуска. Среда: Образовательная платформа Skillfolio и СДО АНКИИ (реестр отечественного ПО, защищённый контур), материалы в доступном текстовом виде, задания, индивидуальная обратная связь, учёт результатов, защищённый канал поддержки. Требования: компьютер/планшет, поддерживаемый браузер, доступ в Интернет; необходимое ПО и его стоимость раскрываются в договоре. Иностранный ИИ-сервис не является единственным обязательным способом выполнения задания. Образовательные персональные данные не загружаются в него без проверки законного основания.</w:t>
      </w:r>
    </w:p>
    <w:p>
      <w:r>
        <w:t>Обязательные материалы до запуска: конспекты по перечисленным модулям; демонстрационные и самостоятельные кейсы; инструкции инструментов; формы обратной связи; рубрика и примеры работ разных уровней; список актуальных первичных профессиональных источников с датой проверки. Этот проект программы не подменяет отсутствующие учебные материалы. Методист оформляет их приёмку до открытия набора.</w:t>
      </w:r>
    </w:p>
    <w:p>
      <w:r>
        <w:t>Методы: объяснение с демонстрацией, кейс, практика, рефлексия, обратная связь и защита. Адаптации по запросу: текстовая расшифровка, доступные форматы, дополнительное время без снижения результата. Учебные источники подбираются по достоверности, а не по рекламным обещаниям.</w:t>
      </w:r>
    </w:p>
    <w:p>
      <w:pPr>
        <w:pStyle w:val="Heading1"/>
      </w:pPr>
      <w:r>
        <w:t>8. Документ и лист готовности</w:t>
      </w:r>
    </w:p>
    <w:p>
      <w:r>
        <w:t>После успешного освоения и итоговой аттестации выдаётся удостоверение о повышении квалификации образца Академии, с учётом особого порядка для получающих СПО/высшее образование. Передача в ФРДО в пределах 30 календарных дней после выдачи.</w:t>
      </w:r>
    </w:p>
    <w:p>
      <w:r>
        <w:t>До утверждения проверить: лицензию; трудовые функции/возрастную применимость; преподавателя; материалы; учебную среду; календарь; цену; доступность; оценочные задания. Объём 36 часов для ранее опубликованных курсов без объёма является методическим предложением и требует согласования. Утверждённая стоимость обучения по программе составляет 15 000 рублей (НДС не облагается) согласно Приказу № 03-ОД от 01.09.2026 г.</w:t>
      </w:r>
    </w:p>
    <w:p>
      <w:r>
        <w:t>Автор/методист: Жиглова Л. В.. Проверка содержания и программы: Научно-методический совет АНКИИ, протокол № 4 от 28.08.2026 г.. Утверждение: Приказ № 02-ОД от 01 сентября 2026 г.. Запуск разрешён только после устранения замечаний.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134" w:right="1020" w:bottom="1134" w:left="136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t xml:space="preserve">Действующая редакция. Утверждено 01.09.2026 | Страница 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t>ООО «АНКИИ» | Документы образовательной деятельности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