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внутреннего трудового распорядка: проект для работодателя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Применение</w:t>
      </w:r>
    </w:p>
    <w:p>
      <w:r>
        <w:t>Основание: ТК РФ, в том числе статьи 91, 100, 136, 189, 190, 192, 193, 333. Правила применяются к работникам по трудовым договорам, а не автоматически к исполнителям по гражданско-правовым договорам. До утверждения учитывается мнение представительного органа работников при наличии и применимости. Работник знакомится с правилами установленным способом до начала исполнения обязанностей.</w:t>
      </w:r>
    </w:p>
    <w:p>
      <w:r>
        <w:t>Приём, перевод и увольнение оформляются по ТК РФ; не устанавливаются дополнительные основания увольнения. Работодатель обеспечивает безопасные условия, своевременную зарплату, защиту данных, обучение в необходимых случаях и учёт времени. Работник исполняет согласованную трудовую функцию, сообщает об опасности и сохраняет охраняемые сведения.</w:t>
      </w:r>
    </w:p>
    <w:p>
      <w:pPr>
        <w:pStyle w:val="Heading1"/>
      </w:pPr>
      <w:r>
        <w:t>2. Время и отдых</w:t>
      </w:r>
    </w:p>
    <w:p>
      <w:r>
        <w:t>Предлагаемый режим для административных работников: пятидневная неделя, понедельник–пятница 09:00–18:00, перерыв 13:00–14:00, суббота и воскресенье выходные, 40 часов. Этот режим требует подтверждения реальной организации труда. Для педагогических работников устанавливается сокращённая продолжительность не более 36 часов в неделю и применимые нормы нагрузки по действующим актам; одинаковая 40-часовая норма всем не устанавливается. Расписание и учёт различают учебную нагрузку и иные обязанности. Дистанционная работа согласуется трудовым договором.</w:t>
      </w:r>
    </w:p>
    <w:p>
      <w:r>
        <w:t>Отпуск предоставляется по закону и графику: общий основной не менее 28 календарных дней, педагогическим работникам применяется положенный удлинённый отпуск при наличии законных оснований. Работа сверх установленной нормы, ночью, в выходные и праздники допускается и оплачивается только по процедуре ТК РФ.</w:t>
      </w:r>
    </w:p>
    <w:p>
      <w:pPr>
        <w:pStyle w:val="Heading1"/>
      </w:pPr>
      <w:r>
        <w:t>3. Оплата и дисциплина</w:t>
      </w:r>
    </w:p>
    <w:p>
      <w:r>
        <w:t>Предлагаемые даты выплаты: 20-е число текущего месяца за первую половину и 5-е следующего месяца за вторую половину; окончательные даты согласуются с бухгалтерией и закрепляются до утверждения с соблюдением статьи 136. При выходном выплата производится накануне. Размер и система оплаты определяются договором и актами, не этим общим проектом.</w:t>
      </w:r>
    </w:p>
    <w:p>
      <w:r>
        <w:t>Применяются только предусмотренные законом дисциплинарные меры, с запросом объяснения, сроками и ознакомлением по статье 193. Денежные штрафы как наказание не устанавливаются. Споры разрешаются законными способами. Фактический штат, трудовые договоры и кадровые акты проверяются отдельно.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