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об электронном обучении и дистанционных образовательных технологиях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Основания и среда</w:t>
      </w:r>
    </w:p>
    <w:p>
      <w:r>
        <w:t>Основания: статья 16 273-ФЗ и постановление № 1678 от 11.10.2023 в редакции 06.05.2026. Дистанционные технологии применяются в объёме, предусмотренном программой. Образовательная среда должна обеспечить доступ к материалам, заданиям, коммуникации, результатам и фиксации освоения. Состав среды утверждается отдельным техническим паспортом до начала обучения; название сервиса в рекламе не подтверждает соответствие.</w:t>
      </w:r>
    </w:p>
    <w:p>
      <w:r>
        <w:t>До зачисления слушателю сообщаются устройство, браузер, связь, необходимое ПО, расписание, доступность и ограничения. Платные подписки включаются в цену либо заранее раскрываются отдельно. Сервисы, недоступные слушателю законным способом, заменяются эквивалентным средством. Обязательной установки MAX для ДПО эти правила не предусматривают.</w:t>
      </w:r>
    </w:p>
    <w:p>
      <w:pPr>
        <w:pStyle w:val="Heading1"/>
      </w:pPr>
      <w:r>
        <w:t>2. Идентификация и организация</w:t>
      </w:r>
    </w:p>
    <w:p>
      <w:r>
        <w:t>Личный кабинет выдаётся индивидуально после проверки зачисления. Личность подтверждается сочетанием учётной записи и проверки документа уполномоченным работником. Биометрия не является обязательной. Перед аттестацией преподаватель сверяет личность без публикации документа другим слушателям.</w:t>
      </w:r>
    </w:p>
    <w:p>
      <w:r>
        <w:t>Учебный план различает занятия с преподавателем и самостоятельную работу. Факт входа или время просмотра сами по себе не доказывают освоение. Журнал хранит тему, дату, заданный объём, выполненную работу, оценку и обратную связь. Самостоятельная работа подтверждается результатом задания. Материалы открываются по календарю, а сроки и изменения доводятся через подтверждаемый канал.</w:t>
      </w:r>
    </w:p>
    <w:p>
      <w:pPr>
        <w:pStyle w:val="Heading1"/>
      </w:pPr>
      <w:r>
        <w:t>3. Сбои и доступность</w:t>
      </w:r>
    </w:p>
    <w:p>
      <w:r>
        <w:t>Обращение о техническом сбое регистрируется; преподаватель предлагает альтернативный доступ, перенос или дополнительную попытку. Сбой на стороне Академии не оценивается как неуспех слушателя. Для людей с инвалидностью согласуются текстовые версии, субтитры, дополнительное время и доступные форматы без снижения проверяемого результата.</w:t>
      </w:r>
    </w:p>
    <w:p>
      <w:r>
        <w:t>Видеозапись не публикуется открыто. До записи сообщаются цель, доступ, срок хранения и основание обработки данных; для использования записи в рекламе требуется отдельное разрешение. Можно участвовать без публичного изображения, если это не мешает установленной проверке личности.</w:t>
      </w:r>
    </w:p>
    <w:p>
      <w:pPr>
        <w:pStyle w:val="Heading1"/>
      </w:pPr>
      <w:r>
        <w:t>4. Безопасность и приёмка</w:t>
      </w:r>
    </w:p>
    <w:p>
      <w:r>
        <w:t>Ответственный до запуска проверяет российскую локализацию первичного сбора персональных данных граждан РФ, договоры с обработчиками, разграничение доступа, резервные копии и экспорт журнала. Не допускается загружать в иностранную ИИ-систему реальные клиентские кейсы с идентифицирующими или медицинскими данными. Учебные кейсы синтетические или обезличенные с проверкой риска идентификации.</w:t>
      </w:r>
    </w:p>
    <w:p>
      <w:r>
        <w:t>Паспорт среды включает сервер и страну размещения, оператора и обработчиков, договоры, роли, перечни данных, сроки удаления, журналирование, резервирование, контакт поддержки и результаты проверки доступности. Без заполненного паспорта технология не считается принятой в эксплуатацию.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