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Порядок оказания платных образовательных услуг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Предложение и договор</w:t>
      </w:r>
    </w:p>
    <w:p>
      <w:r>
        <w:t>1.1. Услуги оказываются по утверждённым программам и письменным договорам. Применяются 273-ФЗ, ГК РФ, Закон о защите прав потребителей и Правила № 1441 в действующей редакции от 21.08.2026.</w:t>
      </w:r>
    </w:p>
    <w:p>
      <w:r>
        <w:t>1.2. До заключения договора сообщаются полные реквизиты, лицензия, содержание, форма, срок и цена, дополнительные расходы, порядок оценки, выдаваемый документ и ограничения. Дополнительные услуги не навязываются; отдельные сервисные подписки раскрываются заранее.</w:t>
      </w:r>
    </w:p>
    <w:p>
      <w:r>
        <w:t>1.3. Договор содержит обязательные сведения по Правилам № 1441, включая данные лица, которому оказывается услуга. Информация договора соответствует опубликованной информации на дату заключения.</w:t>
      </w:r>
    </w:p>
    <w:p>
      <w:pPr>
        <w:pStyle w:val="Heading1"/>
      </w:pPr>
      <w:r>
        <w:t>2. Цена и оказание услуги</w:t>
      </w:r>
    </w:p>
    <w:p>
      <w:r>
        <w:t>2.1. Стоимость каждой программы утверждается приказом. Публичная цена и действующий приказ синхронизируются. Скидка применяется по установленным основаниям и источнику покрытия, не сокращая программу.</w:t>
      </w:r>
    </w:p>
    <w:p>
      <w:r>
        <w:t>2.2. Оплата проводится на расчётный счёт или через законный платёжный сервис с оформлением необходимых расчётных документов. Сроки и рассрочка устанавливаются договором. Налоговый режим и НДС подтверждаются бухгалтером; универсальное заявление «НДС не предусмотрен» не используется без основания.</w:t>
      </w:r>
    </w:p>
    <w:p>
      <w:r>
        <w:t>2.3. После заключения договора и выполнения условий приёма издаётся приказ, предоставляются доступ и график. Исполнение фиксируется занятиями, работами и обратной связью, а не лишь открытием личного кабинета.</w:t>
      </w:r>
    </w:p>
    <w:p>
      <w:r>
        <w:t>2.4. Повышение цены после заключения ограничено законом, в том числе допустимым увеличением с учётом уровня инфляции; произвольное увеличение за уже согласованный объём не допускается.</w:t>
      </w:r>
    </w:p>
    <w:p>
      <w:pPr>
        <w:pStyle w:val="Heading1"/>
      </w:pPr>
      <w:r>
        <w:t>3. Недостатки, отказ и расчёт</w:t>
      </w:r>
    </w:p>
    <w:p>
      <w:r>
        <w:t>3.1. При недостатках обучающийся/заказчик вправе использовать предусмотренные законом требования: безвозмездное устранение, уменьшение цены, возмещение расходов по устранению и иные применимые способы. Существенные недостатки и нарушения сроков рассматриваются по закону.</w:t>
      </w:r>
    </w:p>
    <w:p>
      <w:r>
        <w:t>3.2. Отказ заказчика допускается в любое время при оплате фактически понесённых расходов, связанных с исполнением данного договора. Невозвратная бронь, фиксированный процент удержания, списание всей цены за открытие доступа или стоимость неоказанных модулей не устанавливаются.</w:t>
      </w:r>
    </w:p>
    <w:p>
      <w:r>
        <w:t>3.3. Академия показывает расчёт выполненных обязательств, фактических подтверждённых расходов и исключает двойной учёт. Бремя обоснования удерживаемой суммы не перекладывается на заказчика. Возврат проводится без неоправданного промедления с соблюдением применимого законного срока.</w:t>
      </w:r>
    </w:p>
    <w:p>
      <w:r>
        <w:t>3.4. Нарушения заказчика рассматриваются в рамках предусмотренных законом и договором оснований, с уведомлением; условия, ухудшающие законные права, не действуют.</w:t>
      </w:r>
    </w:p>
    <w:p>
      <w:pPr>
        <w:pStyle w:val="Heading1"/>
      </w:pPr>
      <w:r>
        <w:t>4. Ответственность</w:t>
      </w:r>
    </w:p>
    <w:p>
      <w:r>
        <w:t>4.1. Результат образования проверяется аттестацией. Академия не гарантирует определённый доход, трудоустройство, медицинский эффект или налоговый вычет каждому клиенту.</w:t>
      </w:r>
    </w:p>
    <w:p>
      <w:r>
        <w:t>4.2. Рассмотрение претензии внутри Академии не является обязательным условием доступа потребителя к суду, если закон не предусматривает иного. Контакт: info@ankii.ru. Условие о рассмотрении спора исключительно по месту Академии не вводится.</w:t>
      </w:r>
    </w:p>
    <w:p>
      <w:r>
        <w:t>4.3. Отзывы, фото, реклама и аналитика имеют самостоятельные основания. Получение удостоверения не ставится в зависимость от согласия на публикацию отзыва.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