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об итоговой аттестации по программам ДПО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Допуск и формы</w:t>
      </w:r>
    </w:p>
    <w:p>
      <w:r>
        <w:t>1.1. Освоение ДПО завершается итоговой аттестацией. В подготовленных программах повышения квалификации используется защита итогового проекта с проверкой работоспособности либо обоснованности решения. Государственная итоговая аттестация для этих программ не заявляется.</w:t>
      </w:r>
    </w:p>
    <w:p>
      <w:r>
        <w:t>1.2. Допуск определяется освоением обязательных модулей и промежуточными результатами. Состав комиссии, даты и способы проведения утверждаются приказом. Необходимое образование проверяется отдельно от результатов обучения.</w:t>
      </w:r>
    </w:p>
    <w:p>
      <w:r>
        <w:t>1.3. Обучающемуся до начала программы предоставляются задание, требования к результату, критерии, порог и порядок обжалования. Задание не требует раскрытия реальных клиентских данных.</w:t>
      </w:r>
    </w:p>
    <w:p>
      <w:pPr>
        <w:pStyle w:val="Heading1"/>
      </w:pPr>
      <w:r>
        <w:t>2. Проведение и оценка</w:t>
      </w:r>
    </w:p>
    <w:p>
      <w:r>
        <w:t>2.1. Итоговая работа включает постановку задачи, решение, демонстрацию или модель проверки, ограничения, использованные материалы и собственный вклад. Для ИИ-проектов обязательны тестовые данные, контроль доступа и сценарий ошибки.</w:t>
      </w:r>
    </w:p>
    <w:p>
      <w:r>
        <w:t>2.2. Общая шкала проектных программ: соответствие задаче 0–20; методическая обоснованность 0–20; качество/работоспособность 0–20; этика и безопасность 0–20; самостоятельность и защита 0–20. Конкретизация дана в каждой программе. Проходной балл 70 из 100, при отсутствии критического нарушения.</w:t>
      </w:r>
    </w:p>
    <w:p>
      <w:r>
        <w:t>2.3. Критическое нарушение: разглашение персональных данных, подмена личности, сознательная фальсификация результата, предложение клинических действий вне компетенции или опасное предоставление неограниченных доступов. Работа возвращается на исправление с мотивировкой.</w:t>
      </w:r>
    </w:p>
    <w:p>
      <w:r>
        <w:t>2.4. Дистанционная защита проводится с предварительной идентификацией и индивидуальными контрольными вопросами. Биометрия не является обязательным способом идентификации. Запись защиты делается лишь при наличии основания и после информирования о цели, доступе и сроке хранения.</w:t>
      </w:r>
    </w:p>
    <w:p>
      <w:pPr>
        <w:pStyle w:val="Heading1"/>
      </w:pPr>
      <w:r>
        <w:t>3. Решение и повторная аттестация</w:t>
      </w:r>
    </w:p>
    <w:p>
      <w:r>
        <w:t>3.1. Результат фиксируется протоколом с составом комиссии, датой, заданием, баллами и решением. Оценки не изменяются задним числом; исправления оформляются отдельной записью.</w:t>
      </w:r>
    </w:p>
    <w:p>
      <w:r>
        <w:t>3.2. При успешном прохождении и соблюдении условий выдаётся удостоверение о повышении квалификации установленного Академией образца. Программы данного комплекта не присваивают новую квалификацию, право вести медицинскую деятельность или статус государственного эксперта.</w:t>
      </w:r>
    </w:p>
    <w:p>
      <w:r>
        <w:t>3.3. При неуспешной защите предоставляется письменная обратная связь и одна организационно предусмотренная бесплатная повторная защита в согласованный срок до 30 календарных дней. Уважительные обстоятельства учитываются. Это правило об итоговой защите не ограничивает законный порядок ликвидации промежуточной академической задолженности.</w:t>
      </w:r>
    </w:p>
    <w:p>
      <w:r>
        <w:t>3.4. Обучающемуся, не прошедшему аттестацию, отчисленному или освоившему часть программы, выдаётся справка об обучении или периоде обучения установленного образца.</w:t>
      </w:r>
    </w:p>
    <w:p>
      <w:r>
        <w:t>3.5. Апелляция подаётся в течение пяти рабочих дней после сообщения результата. Сотрудник, единолично выставивший оспариваемую оценку, не рассматривает жалобу единолично. Апелляция не блокирует права на внешнюю защиту.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