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Положение о текущем контроле и промежуточной аттестации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01-ОД от 01 сентября 2026 г.</w:t>
      </w:r>
    </w:p>
    <w:p>
      <w:pPr>
        <w:pStyle w:val="Heading1"/>
      </w:pPr>
      <w:r>
        <w:t>1. Общие правила</w:t>
      </w:r>
    </w:p>
    <w:p>
      <w:r>
        <w:t>1.1. Контроль направлен на проверку планируемых результатов конкретной программы. Формы, содержание, сроки и критерии публикуются в программе и доступны до начала обучения. Оплата не означает успешное освоение.</w:t>
      </w:r>
    </w:p>
    <w:p>
      <w:r>
        <w:t>1.2. Текущий контроль включает разбор кейсов, практические задания, проверку учебных артефактов, устные ответы и тесты. Промежуточная аттестация проводится по завершении модуля, если предусмотрена планом; не вводится скрытой дополнительной платой.</w:t>
      </w:r>
    </w:p>
    <w:p>
      <w:pPr>
        <w:pStyle w:val="Heading1"/>
      </w:pPr>
      <w:r>
        <w:t>2. Проверка работ</w:t>
      </w:r>
    </w:p>
    <w:p>
      <w:r>
        <w:t>2.1. Практическая работа получает «зачтено», если выполнены все существенные требования задания, показан применимый результат и отсутствуют критические нарушения безопасности или достоверности. При недостатках преподаватель указывает, что доработать и до какой даты.</w:t>
      </w:r>
    </w:p>
    <w:p>
      <w:r>
        <w:t>2.2. Тестовая работа оценивается по ключу, доступному проверяющему. Условия и порог определены программой. За неоднозначный или технически дефектный вопрос оценка не снижается до его проверки.</w:t>
      </w:r>
    </w:p>
    <w:p>
      <w:r>
        <w:t>2.3. Использование ИИ допускается, если разрешено программой. Обучающийся показывает собственный вклад, проверяет факты и раскрывает применение инструмента. Непроверенные ответы ИИ и заимствование чужой работы не подтверждают компетенцию.</w:t>
      </w:r>
    </w:p>
    <w:p>
      <w:r>
        <w:t>2.4. Проверка выполняется преподавателем, назначенным на модуль. Автоматическая система может помогать, но спорный и отрицательный результат пересматривается человеком.</w:t>
      </w:r>
    </w:p>
    <w:p>
      <w:pPr>
        <w:pStyle w:val="Heading1"/>
      </w:pPr>
      <w:r>
        <w:t>3. Академическая задолженность</w:t>
      </w:r>
    </w:p>
    <w:p>
      <w:r>
        <w:t>3.1. Неудовлетворительная промежуточная аттестация или непрохождение без уважительной причины образуют академическую задолженность в случаях, предусмотренных статьёй 58 273-ФЗ. Обучающемуся сообщаются основание, материалы и порядок ликвидации.</w:t>
      </w:r>
    </w:p>
    <w:p>
      <w:r>
        <w:t>3.2. При ликвидации академической задолженности обеспечиваются предусмотренные законом повторные прохождения, включая комиссию при втором повторном прохождении; плата за прохождение промежуточной аттестации не взимается. Срок устанавливается в пределах закона с учётом срока программы и уважительных причин.</w:t>
      </w:r>
    </w:p>
    <w:p>
      <w:r>
        <w:t>3.3. Болезнь и подтверждённый технический сбой учитываются как основания согласования иной даты. Отчисление за пропуск одной встречи автоматически не производится.</w:t>
      </w:r>
    </w:p>
    <w:p>
      <w:pPr>
        <w:pStyle w:val="Heading1"/>
      </w:pPr>
      <w:r>
        <w:t>4. Записи и обжалование</w:t>
      </w:r>
    </w:p>
    <w:p>
      <w:r>
        <w:t>4.1. Журнал содержит ФИО, программу, модуль, дату, форму, критерии, результат и проверяющего. Исправления сохраняют первоначальную запись и основание изменения.</w:t>
      </w:r>
    </w:p>
    <w:p>
      <w:r>
        <w:t>4.2. Обучающийся вправе ознакомиться с собственной работой и мотивировкой. Заявление о пересмотре подаётся в течение пяти рабочих дней после ознакомления. Комиссия по урегулированию споров рассматривает заявление в установленном положении порядке.</w:t>
      </w:r>
    </w:p>
    <w:p>
      <w:r>
        <w:t>4.3. Для лиц с инвалидностью условия адаптируются без уменьшения проверяемых результатов: доступный формат задания, дополнительное время, техническая помощь и альтернативный канал.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